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通辽市第五中学教研组长考核制度</w:t>
      </w:r>
    </w:p>
    <w:p w14:paraId="673D2005"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bookmarkEnd w:id="0"/>
    <w:p w14:paraId="3CCE666E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bidi="ar-SA"/>
        </w:rPr>
        <w:t>一、</w:t>
      </w:r>
      <w:r>
        <w:t>考核目的</w:t>
      </w:r>
    </w:p>
    <w:p w14:paraId="6F7BB87C">
      <w:pPr>
        <w:pStyle w:val="13"/>
        <w:rPr>
          <w:rFonts w:hint="eastAsia"/>
        </w:rPr>
      </w:pPr>
      <w:r>
        <w:t>为强化教研组长在教学研究、团队建设及教学质量提升中的核心作用，规范教研管理流程，激发教研工作活力，促进学校教学水平持续优化，特制定本制度。本制度旨在通过科学、公正的考核，明确教研组长职责，量化工作成效，为教研组长的评优、晋升及绩效评定提供依据。</w:t>
      </w:r>
    </w:p>
    <w:p w14:paraId="4A59BC57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bidi="ar-SA"/>
        </w:rPr>
        <w:t>二、</w:t>
      </w:r>
      <w:r>
        <w:t>考核对象</w:t>
      </w:r>
    </w:p>
    <w:p w14:paraId="49C9A836">
      <w:pPr>
        <w:pStyle w:val="13"/>
        <w:rPr>
          <w:rFonts w:hint="eastAsia"/>
        </w:rPr>
      </w:pPr>
      <w:r>
        <w:t>学校各学科教研组长</w:t>
      </w:r>
    </w:p>
    <w:p w14:paraId="09AD0F58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bidi="ar-SA"/>
        </w:rPr>
        <w:t>三、</w:t>
      </w:r>
      <w:r>
        <w:t>考核原则</w:t>
      </w:r>
    </w:p>
    <w:p w14:paraId="1EFBE90F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客观公正原则：以事实为依据，采用定量与定性相结合的方式，避免主观臆断，确保考核结果真实反映工作实绩。</w:t>
      </w:r>
    </w:p>
    <w:p w14:paraId="4255AC06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公开透明原则：考核标准、流程及结果全程公开，接受教研组长及全体教师监督，保障考核的公信力。</w:t>
      </w:r>
    </w:p>
    <w:p w14:paraId="3BB461B9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激励导向原则：突出工作亮点与成果导向，鼓励创新教研模式，对成效显著者给予表彰，对存在不足者提出改进方向。</w:t>
      </w:r>
    </w:p>
    <w:p w14:paraId="4E3EE210">
      <w:pPr>
        <w:pStyle w:val="13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4.</w:t>
      </w:r>
      <w:r>
        <w:t>动态发展原则：结合学校教学发展目标及教研工作实际需求，定期优化考核指标，确保考核的针对性与实效性。</w:t>
      </w:r>
    </w:p>
    <w:p w14:paraId="2DBC004E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bidi="ar-SA"/>
        </w:rPr>
        <w:t>四、</w:t>
      </w:r>
      <w:r>
        <w:t>考核内容及评分标准（总分100分）</w:t>
      </w:r>
    </w:p>
    <w:p w14:paraId="1E6C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（一）教研计划与总结（10分）</w:t>
      </w:r>
    </w:p>
    <w:p w14:paraId="51A97266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每学期初按时提交详细、可行的教研计划，明确目标、内容、步骤及分工，符合学科特点与学校教学要求，得5分；计划粗糙、目标模糊或逾期提交，酌情扣1-3分；未提交不得分。</w:t>
      </w:r>
    </w:p>
    <w:p w14:paraId="73C81882">
      <w:pPr>
        <w:pStyle w:val="13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每学期末按时提交全面的教研总结，如实反映计划完成情况、成效、问题及改进措施，得5分；总结敷衍、内容不完整或逾期提交，酌情扣1-3分；未提交不得分。</w:t>
      </w:r>
    </w:p>
    <w:p w14:paraId="4CC00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（二）常规教研活动组织（25分）</w:t>
      </w:r>
    </w:p>
    <w:p w14:paraId="5A326B80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每学期组织学科教研活动不少于8次，活动主题明确、流程规范，有完整记录（含签到表、议程、纪要、照片等），得10分；每少1次扣2分，记录不完整每次扣1分。</w:t>
      </w:r>
    </w:p>
    <w:p w14:paraId="61635287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牵头开展集体备课活动，每两周至少1次，能有效解决教学重难点问题，形成优质教案、课件等资源并共享，得8分；集体备课流于形式或资源未共享，酌情扣2-5分。</w:t>
      </w:r>
    </w:p>
    <w:p w14:paraId="63BB3F72">
      <w:pPr>
        <w:pStyle w:val="13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定期组织听课评课活动，每学期组织本学科听课不少于15节，评课有针对性、指导性，推动教师教学能力提升，得7分；听课节数不足或评课敷衍，每少1节扣1分，评课无实质内容扣3分。</w:t>
      </w:r>
    </w:p>
    <w:p w14:paraId="1B07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（三）教学质量提升（30分）</w:t>
      </w:r>
    </w:p>
    <w:p w14:paraId="70963389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带领学科教师研究课程标准、考试大纲及命题趋势，制定学科教学质量提升方案并落实，得8分；方案未制定或未落实，酌情扣3-8分。</w:t>
      </w:r>
    </w:p>
    <w:p w14:paraId="0DD7DCCB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本学科各年级平均分、优秀率、及格率在年级或区域排名中处于前列（或较上一周期有明显提升），得12分；排名靠后或下滑明显，酌情扣3-8分；出现严重教学质量问题不得分。</w:t>
      </w:r>
    </w:p>
    <w:p w14:paraId="75A78F3F">
      <w:pPr>
        <w:pStyle w:val="13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组织学科教师做好学情分析与学困生辅导，建立辅导档案，辅导成效显著，得10分；未建立档案或辅导无成效，酌情扣3-6分。</w:t>
      </w:r>
    </w:p>
    <w:p w14:paraId="4064D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（四）教师队伍建设（20分）</w:t>
      </w:r>
    </w:p>
    <w:p w14:paraId="38BE4B01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制定学科教师培养计划，关注青年教师成长，组织“传帮带”活动，每学期至少开展2次青年教师培训或示范课，得8分；未制定计划或活动未开展，酌情扣3-5分。</w:t>
      </w:r>
    </w:p>
    <w:p w14:paraId="11B969E1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鼓励并组织教师参与校内外教学竞赛、教研评比活动，本学科教师获奖情况良好（校级及以上奖项不少于3项/学期），得6分；无教师参与或获奖较少，酌情扣2-4分。</w:t>
      </w:r>
    </w:p>
    <w:p w14:paraId="74A5AFCE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营造和谐向上的学科教研氛围，增强团队凝聚力，教师对教研组工作满意度高（问卷调查满意率≥85%），得6分；氛围差或满意度低，酌情扣2-4分。</w:t>
      </w:r>
    </w:p>
    <w:p w14:paraId="3B4C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（五）附加项（加分上限10分）</w:t>
      </w:r>
    </w:p>
    <w:p w14:paraId="04AC1EFC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教研组承担校级及以上教研课题（已立项或结题），每项加2-3分。</w:t>
      </w:r>
    </w:p>
    <w:p w14:paraId="07635BA7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组织开发校本课程、编写校本教材并投入使用，每项加3-4分。</w:t>
      </w:r>
    </w:p>
    <w:p w14:paraId="6F092636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教研成果（论文、案例、优质课等）在市级及以上平台发表、获奖或推广，每项加2-3分。</w:t>
      </w:r>
    </w:p>
    <w:p w14:paraId="16626C4F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4.</w:t>
      </w:r>
      <w:r>
        <w:t>创新性开展教研工作，形成特色模式并被学校推广，加3-5分。</w:t>
      </w:r>
    </w:p>
    <w:p w14:paraId="7292B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CD418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bidi="ar-SA"/>
        </w:rPr>
        <w:t>五、</w:t>
      </w:r>
      <w:r>
        <w:t>考核流程</w:t>
      </w:r>
    </w:p>
    <w:p w14:paraId="74206A56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自我评估（每学期末）：教研组长对照考核内容进行自我打分，撰写述职报告，连同相关佐证材料（计划、总结、活动记录、成果证明等）提交至教务处。</w:t>
      </w:r>
    </w:p>
    <w:p w14:paraId="6856AC55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教务处审核（自我评估后1周内）：教务处对教研组长提交的材料进行真实性、完整性审核，结合日常教研工作检查记录，初步核定得分。</w:t>
      </w:r>
    </w:p>
    <w:p w14:paraId="6C8743C1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民主评议（教务处审核后3个工作日内）：组织本学科教师及年级组长对教研组长进行民主测评（采用问卷调查或座谈形式），评议结果按一定权重（20%）计入最终得分。</w:t>
      </w:r>
    </w:p>
    <w:p w14:paraId="5AB95E32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4.</w:t>
      </w:r>
      <w:r>
        <w:t>考核小组审定（民主评议后3个工作日内）：成立由校长、教学副校长、教务主任及骨干教师代表组成的考核小组，综合自我评估、教务处审核及民主评议结果，确定最终考核得分及等级。</w:t>
      </w:r>
    </w:p>
    <w:p w14:paraId="64038E82">
      <w:pPr>
        <w:pStyle w:val="13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5.</w:t>
      </w:r>
      <w:r>
        <w:t>结果公示（审定后5个工作日内）：考核结果在学校公告栏或教师工作群公示，公示期内接受异议申诉，考核小组对申诉内容进行复核并给出最终结论。</w:t>
      </w:r>
    </w:p>
    <w:p w14:paraId="101FAA1C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bidi="ar-SA"/>
        </w:rPr>
        <w:t>六、</w:t>
      </w:r>
      <w:r>
        <w:t>考核等级及结果应用</w:t>
      </w:r>
    </w:p>
    <w:p w14:paraId="3A51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(一)考核等级</w:t>
      </w:r>
    </w:p>
    <w:p w14:paraId="71E6F4B7">
      <w:pPr>
        <w:pStyle w:val="13"/>
      </w:pPr>
      <w:r>
        <w:t>- 优秀：总分≥90分（含附加分，且基础分≥80分）</w:t>
      </w:r>
    </w:p>
    <w:p w14:paraId="14CA53D1">
      <w:pPr>
        <w:pStyle w:val="13"/>
      </w:pPr>
      <w:r>
        <w:t>- 合格：60分≤总分＜90分</w:t>
      </w:r>
    </w:p>
    <w:p w14:paraId="10DA2DC4">
      <w:pPr>
        <w:pStyle w:val="13"/>
        <w:rPr>
          <w:rFonts w:hint="eastAsia"/>
        </w:rPr>
      </w:pPr>
      <w:r>
        <w:t>- 不合格：总分＜60分</w:t>
      </w:r>
    </w:p>
    <w:p w14:paraId="1808C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（二）结果应用</w:t>
      </w:r>
    </w:p>
    <w:p w14:paraId="5FF25474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考核优秀的教研组长，授予“优秀教研组长”称号，在绩效工资分配中给予专项奖励，并作为评优评先、职务晋升的优先人选。</w:t>
      </w:r>
    </w:p>
    <w:p w14:paraId="3C873313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考核合格的教研组长，按学校规定享受教研组长岗位津贴及相关待遇。</w:t>
      </w:r>
    </w:p>
    <w:p w14:paraId="4972929C">
      <w:pPr>
        <w:pStyle w:val="13"/>
        <w:numPr>
          <w:ilvl w:val="0"/>
          <w:numId w:val="0"/>
        </w:numPr>
        <w:ind w:left="0" w:leftChars="0" w:firstLine="640" w:firstLineChars="0"/>
        <w:rPr>
          <w:rFonts w:hint="eastAsia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3.</w:t>
      </w:r>
      <w:r>
        <w:t>考核不合格的教研组长，由教务处进行约谈，限期3个月整改；整改后复查仍不合格者，免去教研组长职务，且1年内不得重新担任教研组长及其他教学管理职务。</w:t>
      </w:r>
    </w:p>
    <w:p w14:paraId="763A77DD">
      <w:pPr>
        <w:pStyle w:val="4"/>
        <w:numPr>
          <w:ilvl w:val="0"/>
          <w:numId w:val="0"/>
        </w:numPr>
        <w:topLinePunct w:val="0"/>
        <w:ind w:left="0" w:leftChars="0" w:firstLine="640" w:firstLineChars="0"/>
        <w:rPr>
          <w:rFonts w:hint="eastAsi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bidi="ar-SA"/>
        </w:rPr>
        <w:t>七、</w:t>
      </w:r>
      <w:r>
        <w:t>附则</w:t>
      </w:r>
    </w:p>
    <w:p w14:paraId="6B2E0A0C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1.</w:t>
      </w:r>
      <w:r>
        <w:t>本制度由学校教务处负责解释与修订，自发布之日起执行。</w:t>
      </w:r>
    </w:p>
    <w:p w14:paraId="7312274C">
      <w:pPr>
        <w:pStyle w:val="13"/>
        <w:numPr>
          <w:ilvl w:val="0"/>
          <w:numId w:val="0"/>
        </w:numPr>
        <w:ind w:left="0" w:leftChars="0" w:firstLine="640" w:firstLineChars="0"/>
        <w:rPr>
          <w:b w:val="0"/>
        </w:rPr>
      </w:pPr>
      <w:r>
        <w:rPr>
          <w:rFonts w:hint="default" w:ascii="仿宋_GB2312" w:hAnsi="Calibri" w:eastAsia="仿宋_GB2312" w:cs="Times New Roman"/>
          <w:b w:val="0"/>
          <w:sz w:val="32"/>
        </w:rPr>
        <w:t>2.</w:t>
      </w:r>
      <w:r>
        <w:t>如遇特殊情况（如重大疫情、政策调整等），考核流程及指标可由考核小组酌情调整。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EBA9B-D1A1-4F87-9982-3FFB309A2C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3D012D-3AFD-4938-8ED4-F183388162F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11C6591-CB15-4773-9B76-D2AE369DA6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EC00EAF-9116-4D37-BD0B-9DC96FB584C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C6A30AE-5122-4DD0-B307-F6BF877F8F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25F68"/>
    <w:rsid w:val="0CFA3229"/>
    <w:rsid w:val="37F321FF"/>
    <w:rsid w:val="53B6557C"/>
    <w:rsid w:val="5C0B2300"/>
    <w:rsid w:val="7B1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5">
    <w:name w:val="heading 2"/>
    <w:next w:val="1"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6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8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9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11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2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3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640" w:lineRule="exact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kern w:val="2"/>
      <w:sz w:val="44"/>
      <w:szCs w:val="44"/>
      <w:lang w:bidi="ar-SA"/>
    </w:rPr>
  </w:style>
  <w:style w:type="paragraph" w:customStyle="1" w:styleId="18">
    <w:name w:val="内容块-06-a"/>
    <w:basedOn w:val="1"/>
    <w:next w:val="1"/>
    <w:qFormat/>
    <w:uiPriority w:val="0"/>
    <w:pPr>
      <w:pBdr>
        <w:top w:val="single" w:color="F4FCFB" w:themeColor="accent5" w:themeTint="0C" w:sz="8" w:space="5"/>
        <w:left w:val="single" w:color="7DDED6" w:themeColor="accent5" w:themeTint="99" w:sz="36" w:space="12"/>
        <w:bottom w:val="single" w:color="F4FCFB" w:themeColor="accent5" w:themeTint="0C" w:sz="8" w:space="5"/>
        <w:right w:val="single" w:color="F4FCFB" w:themeColor="accent5" w:themeTint="0C" w:sz="8" w:space="13"/>
      </w:pBdr>
      <w:shd w:val="clear" w:color="auto" w:fill="F3FCFB" w:themeFill="accent5" w:themeFillTint="0D"/>
      <w:ind w:left="0" w:right="0"/>
      <w:jc w:val="left"/>
      <w:textAlignment w:val="center"/>
    </w:pPr>
    <w:rPr>
      <w:rFonts w:asciiTheme="minorAscii" w:hAnsiTheme="minorAscii"/>
      <w:color w:val="auto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2035</Words>
  <Characters>2113</Characters>
  <Lines>0</Lines>
  <Paragraphs>0</Paragraphs>
  <TotalTime>6</TotalTime>
  <ScaleCrop>false</ScaleCrop>
  <LinksUpToDate>false</LinksUpToDate>
  <CharactersWithSpaces>2118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2024-12-25T02:13:00Z</dcterms:created>
  <dc:creator>Lenovo</dc:creator>
  <cp:lastModifiedBy>天天爱吃土</cp:lastModifiedBy>
  <dcterms:modified xsi:type="dcterms:W3CDTF">2025-12-08T00:34:51Z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48E30AED87DC4E31A4118D1342A4FDC3_12</vt:lpwstr>
  </property>
  <property fmtid="{D5CDD505-2E9C-101B-9397-08002B2CF9AE}" pid="4" name="KSOTemplateDocerSaveRecord">
    <vt:lpwstr>eyJoZGlkIjoiY2M1NTZiZmZlODk5MmQ3ODgwYzE0YzEzOWQwN2UzMmEiLCJ1c2VySWQiOiIyMDk1MTEyNzgifQ==</vt:lpwstr>
  </property>
</Properties>
</file>